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92" w:rsidRPr="00EB5BA4" w:rsidRDefault="00D32C66">
      <w:pPr>
        <w:rPr>
          <w:b/>
          <w:u w:val="single"/>
        </w:rPr>
      </w:pPr>
      <w:r>
        <w:rPr>
          <w:b/>
          <w:u w:val="single"/>
        </w:rPr>
        <w:t>Lijkschouw</w:t>
      </w:r>
      <w:r w:rsidR="00EB5BA4" w:rsidRPr="00EB5BA4">
        <w:rPr>
          <w:b/>
          <w:u w:val="single"/>
        </w:rPr>
        <w:t xml:space="preserve"> en letsel </w:t>
      </w:r>
    </w:p>
    <w:p w:rsidR="00EB5BA4" w:rsidRDefault="00824451">
      <w:r>
        <w:t>16-12-2021</w:t>
      </w:r>
      <w:r w:rsidR="00EB5BA4">
        <w:t xml:space="preserve"> van 17:00 – 21:00</w:t>
      </w:r>
    </w:p>
    <w:p w:rsidR="00EB5BA4" w:rsidRDefault="00EB5BA4"/>
    <w:p w:rsidR="00EB5BA4" w:rsidRDefault="00EB5BA4">
      <w:r>
        <w:t xml:space="preserve">Niet iedere forensisch arts ziet in zijn regio evenveel lijkschouwen of letsel. Tevens maakt het uit of je 16 uur werkt of fulltime dit werk doet. Derhalve is het goed om een collectieve terugkerende bespreking te hebben waarbij niet alleen de bijzondere schouwen of letsels met elkaar gedeeld wordt. Iedere casus heeft wel een leerpunt, bijzonderheid of verbeterpunt waar een ander van kan leren. </w:t>
      </w:r>
    </w:p>
    <w:p w:rsidR="00EB5BA4" w:rsidRDefault="00EB5BA4"/>
    <w:p w:rsidR="00EB5BA4" w:rsidRDefault="00EB5BA4">
      <w:r>
        <w:t xml:space="preserve">Elke casus zal kort ingeleid worden, uitgevraagd worden volgens de ICT methode waarna de rest van de tijd informatie gegeven zal worden over het leerpunt. Dit kan te maken hebben met communicatie, medische achtergrond, (ontbreken van consensus in) wetenschappelijke literatuur, toxicologie uitslagen </w:t>
      </w:r>
      <w:proofErr w:type="spellStart"/>
      <w:r>
        <w:t>danwel</w:t>
      </w:r>
      <w:proofErr w:type="spellEnd"/>
      <w:r>
        <w:t xml:space="preserve"> richtlijnen.</w:t>
      </w:r>
    </w:p>
    <w:p w:rsidR="00EB5BA4" w:rsidRDefault="00EB5BA4"/>
    <w:p w:rsidR="00EB5BA4" w:rsidRDefault="00EB5BA4"/>
    <w:p w:rsidR="00EB5BA4" w:rsidRDefault="00EB5BA4"/>
    <w:p w:rsidR="00EB5BA4" w:rsidRDefault="00EB5BA4"/>
    <w:tbl>
      <w:tblPr>
        <w:tblStyle w:val="Tabelraster"/>
        <w:tblW w:w="9923" w:type="dxa"/>
        <w:tblInd w:w="-459" w:type="dxa"/>
        <w:tblLook w:val="04A0" w:firstRow="1" w:lastRow="0" w:firstColumn="1" w:lastColumn="0" w:noHBand="0" w:noVBand="1"/>
      </w:tblPr>
      <w:tblGrid>
        <w:gridCol w:w="1560"/>
        <w:gridCol w:w="2551"/>
        <w:gridCol w:w="3544"/>
        <w:gridCol w:w="1134"/>
        <w:gridCol w:w="1134"/>
      </w:tblGrid>
      <w:tr w:rsidR="00BF25F6" w:rsidTr="00D32C66">
        <w:tc>
          <w:tcPr>
            <w:tcW w:w="1560" w:type="dxa"/>
          </w:tcPr>
          <w:p w:rsidR="00BF25F6" w:rsidRDefault="00BF25F6" w:rsidP="00EB5BA4">
            <w:r>
              <w:t>Tijd</w:t>
            </w:r>
          </w:p>
        </w:tc>
        <w:tc>
          <w:tcPr>
            <w:tcW w:w="2551" w:type="dxa"/>
          </w:tcPr>
          <w:p w:rsidR="00BF25F6" w:rsidRDefault="00BF25F6" w:rsidP="00EB5BA4">
            <w:r>
              <w:t>Wat / casus</w:t>
            </w:r>
          </w:p>
        </w:tc>
        <w:tc>
          <w:tcPr>
            <w:tcW w:w="3544" w:type="dxa"/>
          </w:tcPr>
          <w:p w:rsidR="00BF25F6" w:rsidRDefault="00BF25F6" w:rsidP="00EB5BA4">
            <w:r>
              <w:t>Onderwerp / richtlijn</w:t>
            </w:r>
          </w:p>
        </w:tc>
        <w:tc>
          <w:tcPr>
            <w:tcW w:w="1134" w:type="dxa"/>
          </w:tcPr>
          <w:p w:rsidR="00BF25F6" w:rsidRDefault="00BF25F6" w:rsidP="00EB5BA4">
            <w:r>
              <w:t>wie</w:t>
            </w:r>
          </w:p>
        </w:tc>
        <w:tc>
          <w:tcPr>
            <w:tcW w:w="1134" w:type="dxa"/>
          </w:tcPr>
          <w:p w:rsidR="00BF25F6" w:rsidRDefault="00BF25F6" w:rsidP="00E8172B">
            <w:r>
              <w:t>tijd</w:t>
            </w:r>
          </w:p>
        </w:tc>
      </w:tr>
      <w:tr w:rsidR="00BF25F6" w:rsidTr="00D32C66">
        <w:tc>
          <w:tcPr>
            <w:tcW w:w="1560" w:type="dxa"/>
          </w:tcPr>
          <w:p w:rsidR="00BF25F6" w:rsidRDefault="00BF25F6" w:rsidP="00EB5BA4"/>
        </w:tc>
        <w:tc>
          <w:tcPr>
            <w:tcW w:w="2551" w:type="dxa"/>
          </w:tcPr>
          <w:p w:rsidR="00BF25F6" w:rsidRDefault="00BF25F6" w:rsidP="00EB5BA4"/>
        </w:tc>
        <w:tc>
          <w:tcPr>
            <w:tcW w:w="3544" w:type="dxa"/>
          </w:tcPr>
          <w:p w:rsidR="00BF25F6" w:rsidRDefault="00BF25F6" w:rsidP="00EB5BA4"/>
        </w:tc>
        <w:tc>
          <w:tcPr>
            <w:tcW w:w="1134" w:type="dxa"/>
          </w:tcPr>
          <w:p w:rsidR="00BF25F6" w:rsidRDefault="00BF25F6" w:rsidP="00EB5BA4"/>
        </w:tc>
        <w:tc>
          <w:tcPr>
            <w:tcW w:w="1134" w:type="dxa"/>
          </w:tcPr>
          <w:p w:rsidR="00BF25F6" w:rsidRDefault="00BF25F6" w:rsidP="00E8172B"/>
        </w:tc>
      </w:tr>
      <w:tr w:rsidR="00BF25F6" w:rsidTr="00D32C66">
        <w:tc>
          <w:tcPr>
            <w:tcW w:w="1560" w:type="dxa"/>
          </w:tcPr>
          <w:p w:rsidR="00BF25F6" w:rsidRDefault="00BF25F6" w:rsidP="00EB5BA4">
            <w:r>
              <w:t>17:00 – 17:30</w:t>
            </w:r>
          </w:p>
        </w:tc>
        <w:tc>
          <w:tcPr>
            <w:tcW w:w="2551" w:type="dxa"/>
          </w:tcPr>
          <w:p w:rsidR="00BF25F6" w:rsidRDefault="00BF25F6" w:rsidP="00EB5BA4">
            <w:r>
              <w:t>Inloop en broodjes</w:t>
            </w:r>
          </w:p>
        </w:tc>
        <w:tc>
          <w:tcPr>
            <w:tcW w:w="3544" w:type="dxa"/>
          </w:tcPr>
          <w:p w:rsidR="00BF25F6" w:rsidRDefault="00BF25F6" w:rsidP="00EB5BA4">
            <w:r>
              <w:t xml:space="preserve"> (of inloggen in TEAMS)</w:t>
            </w:r>
          </w:p>
        </w:tc>
        <w:tc>
          <w:tcPr>
            <w:tcW w:w="1134" w:type="dxa"/>
          </w:tcPr>
          <w:p w:rsidR="00BF25F6" w:rsidRDefault="00BF25F6" w:rsidP="00EB5BA4"/>
        </w:tc>
        <w:tc>
          <w:tcPr>
            <w:tcW w:w="1134" w:type="dxa"/>
          </w:tcPr>
          <w:p w:rsidR="00BF25F6" w:rsidRDefault="00BF25F6" w:rsidP="00E8172B"/>
        </w:tc>
      </w:tr>
      <w:tr w:rsidR="00BF25F6" w:rsidTr="00D32C66">
        <w:tc>
          <w:tcPr>
            <w:tcW w:w="1560" w:type="dxa"/>
          </w:tcPr>
          <w:p w:rsidR="00BF25F6" w:rsidRDefault="00BF25F6" w:rsidP="00EB5BA4">
            <w:r>
              <w:t>17:30 – 18:30</w:t>
            </w:r>
          </w:p>
        </w:tc>
        <w:tc>
          <w:tcPr>
            <w:tcW w:w="2551" w:type="dxa"/>
          </w:tcPr>
          <w:p w:rsidR="00BF25F6" w:rsidRDefault="00BF25F6" w:rsidP="00EB5BA4">
            <w:r>
              <w:t>Onderzoek letselbeschrijving in rechtspraak</w:t>
            </w:r>
          </w:p>
        </w:tc>
        <w:tc>
          <w:tcPr>
            <w:tcW w:w="3544" w:type="dxa"/>
          </w:tcPr>
          <w:p w:rsidR="00BF25F6" w:rsidRDefault="00BF25F6" w:rsidP="00EB5BA4">
            <w:r>
              <w:t>Eind presentatie masterscriptie</w:t>
            </w:r>
          </w:p>
        </w:tc>
        <w:tc>
          <w:tcPr>
            <w:tcW w:w="1134" w:type="dxa"/>
          </w:tcPr>
          <w:p w:rsidR="00BF25F6" w:rsidRDefault="00BF25F6" w:rsidP="00EB5BA4">
            <w:r>
              <w:t>Veronica</w:t>
            </w:r>
          </w:p>
        </w:tc>
        <w:tc>
          <w:tcPr>
            <w:tcW w:w="1134" w:type="dxa"/>
          </w:tcPr>
          <w:p w:rsidR="00BF25F6" w:rsidRDefault="00BF25F6" w:rsidP="00E8172B">
            <w:r>
              <w:t>60</w:t>
            </w:r>
          </w:p>
        </w:tc>
      </w:tr>
      <w:tr w:rsidR="00BF25F6" w:rsidTr="00D32C66">
        <w:tc>
          <w:tcPr>
            <w:tcW w:w="1560" w:type="dxa"/>
          </w:tcPr>
          <w:p w:rsidR="00BF25F6" w:rsidRDefault="00BF25F6" w:rsidP="00EB5BA4">
            <w:r>
              <w:t>18:30 -19:00</w:t>
            </w:r>
          </w:p>
        </w:tc>
        <w:tc>
          <w:tcPr>
            <w:tcW w:w="2551" w:type="dxa"/>
          </w:tcPr>
          <w:p w:rsidR="00BF25F6" w:rsidRDefault="00BF25F6" w:rsidP="00EB5BA4">
            <w:r>
              <w:t>FMEK casus en letselformat</w:t>
            </w:r>
          </w:p>
        </w:tc>
        <w:tc>
          <w:tcPr>
            <w:tcW w:w="3544" w:type="dxa"/>
          </w:tcPr>
          <w:p w:rsidR="00BF25F6" w:rsidRDefault="00BF25F6" w:rsidP="00824451">
            <w:r>
              <w:t>Uniform werken; inhoudelijke bespreking casus en mechanisme/ziektebeeld</w:t>
            </w:r>
          </w:p>
        </w:tc>
        <w:tc>
          <w:tcPr>
            <w:tcW w:w="1134" w:type="dxa"/>
          </w:tcPr>
          <w:p w:rsidR="00BF25F6" w:rsidRDefault="00BF25F6" w:rsidP="00EB5BA4">
            <w:r>
              <w:t>Maartje</w:t>
            </w:r>
          </w:p>
        </w:tc>
        <w:tc>
          <w:tcPr>
            <w:tcW w:w="1134" w:type="dxa"/>
          </w:tcPr>
          <w:p w:rsidR="00BF25F6" w:rsidRDefault="00BF25F6" w:rsidP="00E8172B">
            <w:r>
              <w:t>30</w:t>
            </w:r>
          </w:p>
        </w:tc>
      </w:tr>
      <w:tr w:rsidR="00BF25F6" w:rsidTr="00D32C66">
        <w:tc>
          <w:tcPr>
            <w:tcW w:w="1560" w:type="dxa"/>
          </w:tcPr>
          <w:p w:rsidR="00BF25F6" w:rsidRDefault="00BF25F6" w:rsidP="00EB5BA4">
            <w:r>
              <w:t>19:00 – 19:30</w:t>
            </w:r>
          </w:p>
        </w:tc>
        <w:tc>
          <w:tcPr>
            <w:tcW w:w="2551" w:type="dxa"/>
          </w:tcPr>
          <w:p w:rsidR="00BF25F6" w:rsidRDefault="00BF25F6" w:rsidP="00EB5BA4">
            <w:r>
              <w:t>FMEK casus aansteker</w:t>
            </w:r>
          </w:p>
        </w:tc>
        <w:tc>
          <w:tcPr>
            <w:tcW w:w="3544" w:type="dxa"/>
          </w:tcPr>
          <w:p w:rsidR="00BF25F6" w:rsidRDefault="00BF25F6" w:rsidP="00824451">
            <w:r>
              <w:t>Inhoudelijke bespreking casus en toedracht</w:t>
            </w:r>
          </w:p>
        </w:tc>
        <w:tc>
          <w:tcPr>
            <w:tcW w:w="1134" w:type="dxa"/>
          </w:tcPr>
          <w:p w:rsidR="00BF25F6" w:rsidRDefault="00BF25F6" w:rsidP="00EB5BA4">
            <w:r>
              <w:t>Ype</w:t>
            </w:r>
          </w:p>
        </w:tc>
        <w:tc>
          <w:tcPr>
            <w:tcW w:w="1134" w:type="dxa"/>
          </w:tcPr>
          <w:p w:rsidR="00BF25F6" w:rsidRDefault="00BF25F6" w:rsidP="00E8172B">
            <w:r>
              <w:t>30</w:t>
            </w:r>
          </w:p>
        </w:tc>
      </w:tr>
      <w:tr w:rsidR="00BF25F6" w:rsidTr="00D32C66">
        <w:tc>
          <w:tcPr>
            <w:tcW w:w="1560" w:type="dxa"/>
          </w:tcPr>
          <w:p w:rsidR="00BF25F6" w:rsidRDefault="00BF25F6" w:rsidP="00EB5BA4"/>
        </w:tc>
        <w:tc>
          <w:tcPr>
            <w:tcW w:w="2551" w:type="dxa"/>
          </w:tcPr>
          <w:p w:rsidR="00BF25F6" w:rsidRDefault="00BF25F6" w:rsidP="00EB5BA4"/>
        </w:tc>
        <w:tc>
          <w:tcPr>
            <w:tcW w:w="3544" w:type="dxa"/>
          </w:tcPr>
          <w:p w:rsidR="00BF25F6" w:rsidRDefault="00BF25F6" w:rsidP="00EB5BA4"/>
        </w:tc>
        <w:tc>
          <w:tcPr>
            <w:tcW w:w="1134" w:type="dxa"/>
          </w:tcPr>
          <w:p w:rsidR="00BF25F6" w:rsidRDefault="00BF25F6" w:rsidP="00EB5BA4"/>
        </w:tc>
        <w:tc>
          <w:tcPr>
            <w:tcW w:w="1134" w:type="dxa"/>
          </w:tcPr>
          <w:p w:rsidR="00BF25F6" w:rsidRDefault="00BF25F6" w:rsidP="00E8172B"/>
        </w:tc>
      </w:tr>
      <w:tr w:rsidR="00BF25F6" w:rsidTr="00D32C66">
        <w:tc>
          <w:tcPr>
            <w:tcW w:w="1560" w:type="dxa"/>
          </w:tcPr>
          <w:p w:rsidR="00BF25F6" w:rsidRDefault="00BF25F6" w:rsidP="00EB5BA4">
            <w:r>
              <w:t>19:30 – 19:45</w:t>
            </w:r>
          </w:p>
        </w:tc>
        <w:tc>
          <w:tcPr>
            <w:tcW w:w="2551" w:type="dxa"/>
          </w:tcPr>
          <w:p w:rsidR="00BF25F6" w:rsidRDefault="00BF25F6" w:rsidP="00EB5BA4">
            <w:r>
              <w:t>Pauze</w:t>
            </w:r>
          </w:p>
        </w:tc>
        <w:tc>
          <w:tcPr>
            <w:tcW w:w="3544" w:type="dxa"/>
          </w:tcPr>
          <w:p w:rsidR="00BF25F6" w:rsidRDefault="00BF25F6" w:rsidP="00EB5BA4"/>
        </w:tc>
        <w:tc>
          <w:tcPr>
            <w:tcW w:w="1134" w:type="dxa"/>
          </w:tcPr>
          <w:p w:rsidR="00BF25F6" w:rsidRDefault="00BF25F6" w:rsidP="00EB5BA4"/>
        </w:tc>
        <w:tc>
          <w:tcPr>
            <w:tcW w:w="1134" w:type="dxa"/>
          </w:tcPr>
          <w:p w:rsidR="00BF25F6" w:rsidRDefault="00BF25F6" w:rsidP="00E8172B"/>
        </w:tc>
      </w:tr>
      <w:tr w:rsidR="00BF25F6" w:rsidTr="00D32C66">
        <w:tc>
          <w:tcPr>
            <w:tcW w:w="1560" w:type="dxa"/>
          </w:tcPr>
          <w:p w:rsidR="00BF25F6" w:rsidRDefault="00BF25F6" w:rsidP="00EB5BA4">
            <w:r>
              <w:t>19:45 – 20:15</w:t>
            </w:r>
          </w:p>
        </w:tc>
        <w:tc>
          <w:tcPr>
            <w:tcW w:w="2551" w:type="dxa"/>
          </w:tcPr>
          <w:p w:rsidR="00BF25F6" w:rsidRDefault="00BF25F6" w:rsidP="00EB5BA4">
            <w:proofErr w:type="spellStart"/>
            <w:r>
              <w:t>Brandlijk</w:t>
            </w:r>
            <w:proofErr w:type="spellEnd"/>
          </w:p>
        </w:tc>
        <w:tc>
          <w:tcPr>
            <w:tcW w:w="3544" w:type="dxa"/>
          </w:tcPr>
          <w:p w:rsidR="00BF25F6" w:rsidRDefault="00BF25F6" w:rsidP="00EB5BA4">
            <w:r>
              <w:t>Casus  bespreking met inhoudelijke bespreking brandwonden</w:t>
            </w:r>
          </w:p>
        </w:tc>
        <w:tc>
          <w:tcPr>
            <w:tcW w:w="1134" w:type="dxa"/>
          </w:tcPr>
          <w:p w:rsidR="00BF25F6" w:rsidRDefault="00BF25F6" w:rsidP="00EB5BA4">
            <w:r>
              <w:t>Harry</w:t>
            </w:r>
          </w:p>
        </w:tc>
        <w:tc>
          <w:tcPr>
            <w:tcW w:w="1134" w:type="dxa"/>
          </w:tcPr>
          <w:p w:rsidR="00BF25F6" w:rsidRDefault="00BF25F6" w:rsidP="00E8172B">
            <w:r>
              <w:t>30</w:t>
            </w:r>
          </w:p>
        </w:tc>
      </w:tr>
      <w:tr w:rsidR="00BF25F6" w:rsidTr="00D32C66">
        <w:tc>
          <w:tcPr>
            <w:tcW w:w="1560" w:type="dxa"/>
          </w:tcPr>
          <w:p w:rsidR="00BF25F6" w:rsidRDefault="00BF25F6" w:rsidP="00EB5BA4">
            <w:r>
              <w:t>20:15-20:45</w:t>
            </w:r>
          </w:p>
        </w:tc>
        <w:tc>
          <w:tcPr>
            <w:tcW w:w="2551" w:type="dxa"/>
          </w:tcPr>
          <w:p w:rsidR="00BF25F6" w:rsidRDefault="00D32C66" w:rsidP="00EB5BA4">
            <w:r>
              <w:t xml:space="preserve">Lijk </w:t>
            </w:r>
            <w:proofErr w:type="spellStart"/>
            <w:r>
              <w:t>natriumazide</w:t>
            </w:r>
            <w:proofErr w:type="spellEnd"/>
          </w:p>
        </w:tc>
        <w:tc>
          <w:tcPr>
            <w:tcW w:w="3544" w:type="dxa"/>
          </w:tcPr>
          <w:p w:rsidR="00BF25F6" w:rsidRDefault="00D32C66" w:rsidP="00EB5BA4">
            <w:r>
              <w:t xml:space="preserve">Stand van zaken, lab-bepalingen </w:t>
            </w:r>
            <w:proofErr w:type="spellStart"/>
            <w:r>
              <w:t>enz</w:t>
            </w:r>
            <w:proofErr w:type="spellEnd"/>
          </w:p>
        </w:tc>
        <w:tc>
          <w:tcPr>
            <w:tcW w:w="1134" w:type="dxa"/>
          </w:tcPr>
          <w:p w:rsidR="00BF25F6" w:rsidRDefault="00BF25F6" w:rsidP="00EB5BA4">
            <w:r>
              <w:t>Karen</w:t>
            </w:r>
          </w:p>
        </w:tc>
        <w:tc>
          <w:tcPr>
            <w:tcW w:w="1134" w:type="dxa"/>
          </w:tcPr>
          <w:p w:rsidR="00BF25F6" w:rsidRDefault="00BF25F6" w:rsidP="00E8172B">
            <w:r>
              <w:t>30</w:t>
            </w:r>
          </w:p>
        </w:tc>
      </w:tr>
      <w:tr w:rsidR="00BF25F6" w:rsidTr="00D32C66">
        <w:tc>
          <w:tcPr>
            <w:tcW w:w="1560" w:type="dxa"/>
          </w:tcPr>
          <w:p w:rsidR="00BF25F6" w:rsidRDefault="00BF25F6" w:rsidP="00EB5BA4">
            <w:r>
              <w:t>20:45-21:15</w:t>
            </w:r>
          </w:p>
        </w:tc>
        <w:tc>
          <w:tcPr>
            <w:tcW w:w="2551" w:type="dxa"/>
          </w:tcPr>
          <w:p w:rsidR="00BF25F6" w:rsidRDefault="00D32C66" w:rsidP="00EB5BA4">
            <w:r>
              <w:t xml:space="preserve">Casus overleden GHB baby in </w:t>
            </w:r>
            <w:proofErr w:type="spellStart"/>
            <w:r>
              <w:t>zkh</w:t>
            </w:r>
            <w:proofErr w:type="spellEnd"/>
          </w:p>
        </w:tc>
        <w:tc>
          <w:tcPr>
            <w:tcW w:w="3544" w:type="dxa"/>
          </w:tcPr>
          <w:p w:rsidR="00BF25F6" w:rsidRDefault="00D32C66" w:rsidP="00EB5BA4">
            <w:r>
              <w:t>Tips en tops, samenwerking en proces intern en extern</w:t>
            </w:r>
          </w:p>
        </w:tc>
        <w:tc>
          <w:tcPr>
            <w:tcW w:w="1134" w:type="dxa"/>
          </w:tcPr>
          <w:p w:rsidR="00BF25F6" w:rsidRDefault="00BF25F6" w:rsidP="00EB5BA4">
            <w:r>
              <w:t>Ricardo</w:t>
            </w:r>
          </w:p>
        </w:tc>
        <w:tc>
          <w:tcPr>
            <w:tcW w:w="1134" w:type="dxa"/>
          </w:tcPr>
          <w:p w:rsidR="00BF25F6" w:rsidRDefault="00BF25F6" w:rsidP="00E8172B">
            <w:r>
              <w:t>30</w:t>
            </w:r>
          </w:p>
        </w:tc>
      </w:tr>
      <w:tr w:rsidR="00BF25F6" w:rsidTr="00D32C66">
        <w:tc>
          <w:tcPr>
            <w:tcW w:w="1560" w:type="dxa"/>
          </w:tcPr>
          <w:p w:rsidR="00BF25F6" w:rsidRDefault="00D32C66" w:rsidP="00EB5BA4">
            <w:r>
              <w:t>21:15 – 21:30</w:t>
            </w:r>
          </w:p>
        </w:tc>
        <w:tc>
          <w:tcPr>
            <w:tcW w:w="2551" w:type="dxa"/>
          </w:tcPr>
          <w:p w:rsidR="00BF25F6" w:rsidRDefault="00D32C66" w:rsidP="00EB5BA4">
            <w:r>
              <w:t>Discussie en afsluiting</w:t>
            </w:r>
          </w:p>
        </w:tc>
        <w:tc>
          <w:tcPr>
            <w:tcW w:w="3544" w:type="dxa"/>
          </w:tcPr>
          <w:p w:rsidR="00BF25F6" w:rsidRDefault="00D32C66" w:rsidP="00EB5BA4">
            <w:r>
              <w:t>Leerpunten</w:t>
            </w:r>
          </w:p>
        </w:tc>
        <w:tc>
          <w:tcPr>
            <w:tcW w:w="1134" w:type="dxa"/>
          </w:tcPr>
          <w:p w:rsidR="00BF25F6" w:rsidRDefault="00BF25F6" w:rsidP="00EB5BA4"/>
        </w:tc>
        <w:tc>
          <w:tcPr>
            <w:tcW w:w="1134" w:type="dxa"/>
          </w:tcPr>
          <w:p w:rsidR="00BF25F6" w:rsidRDefault="00D32C66" w:rsidP="00E8172B">
            <w:r>
              <w:t>15</w:t>
            </w:r>
          </w:p>
        </w:tc>
      </w:tr>
      <w:tr w:rsidR="004551B5" w:rsidTr="00D32C66">
        <w:tc>
          <w:tcPr>
            <w:tcW w:w="1560" w:type="dxa"/>
          </w:tcPr>
          <w:p w:rsidR="004551B5" w:rsidRDefault="004551B5" w:rsidP="00EB5BA4"/>
        </w:tc>
        <w:tc>
          <w:tcPr>
            <w:tcW w:w="2551" w:type="dxa"/>
          </w:tcPr>
          <w:p w:rsidR="004551B5" w:rsidRDefault="004551B5" w:rsidP="00EB5BA4"/>
        </w:tc>
        <w:tc>
          <w:tcPr>
            <w:tcW w:w="3544" w:type="dxa"/>
          </w:tcPr>
          <w:p w:rsidR="004551B5" w:rsidRDefault="004551B5" w:rsidP="00EB5BA4"/>
        </w:tc>
        <w:tc>
          <w:tcPr>
            <w:tcW w:w="1134" w:type="dxa"/>
          </w:tcPr>
          <w:p w:rsidR="004551B5" w:rsidRDefault="004551B5" w:rsidP="00EB5BA4">
            <w:r>
              <w:t>totaal</w:t>
            </w:r>
          </w:p>
        </w:tc>
        <w:tc>
          <w:tcPr>
            <w:tcW w:w="1134" w:type="dxa"/>
          </w:tcPr>
          <w:p w:rsidR="004551B5" w:rsidRDefault="004551B5" w:rsidP="00E8172B">
            <w:r>
              <w:t>210</w:t>
            </w:r>
          </w:p>
        </w:tc>
      </w:tr>
    </w:tbl>
    <w:p w:rsidR="00D32C66" w:rsidRDefault="00D32C66"/>
    <w:p w:rsidR="00D32C66" w:rsidRDefault="00D32C66"/>
    <w:p w:rsidR="00D32C66" w:rsidRPr="00D32C66" w:rsidRDefault="00D32C66">
      <w:pPr>
        <w:rPr>
          <w:b/>
        </w:rPr>
      </w:pPr>
      <w:r>
        <w:rPr>
          <w:b/>
        </w:rPr>
        <w:t>Kwalificaties s</w:t>
      </w:r>
      <w:r w:rsidRPr="00D32C66">
        <w:rPr>
          <w:b/>
        </w:rPr>
        <w:t xml:space="preserve">prekers </w:t>
      </w:r>
    </w:p>
    <w:p w:rsidR="00D32C66" w:rsidRDefault="00D32C66">
      <w:proofErr w:type="spellStart"/>
      <w:r>
        <w:t>Veronia</w:t>
      </w:r>
      <w:proofErr w:type="spellEnd"/>
      <w:r w:rsidR="009E3498">
        <w:t xml:space="preserve"> </w:t>
      </w:r>
      <w:proofErr w:type="spellStart"/>
      <w:r w:rsidR="009E3498">
        <w:t>Baljé</w:t>
      </w:r>
      <w:proofErr w:type="spellEnd"/>
      <w:r w:rsidR="009E3498">
        <w:t xml:space="preserve">: junior onderzoeker partners voor jeugd, master </w:t>
      </w:r>
      <w:proofErr w:type="spellStart"/>
      <w:r w:rsidR="009E3498">
        <w:t>forensic</w:t>
      </w:r>
      <w:proofErr w:type="spellEnd"/>
      <w:r w:rsidR="009E3498">
        <w:t xml:space="preserve"> </w:t>
      </w:r>
      <w:proofErr w:type="spellStart"/>
      <w:r w:rsidR="009E3498">
        <w:t>science</w:t>
      </w:r>
      <w:proofErr w:type="spellEnd"/>
      <w:r w:rsidR="009E3498">
        <w:t xml:space="preserve"> en neurobiologie UvA</w:t>
      </w:r>
      <w:bookmarkStart w:id="0" w:name="_GoBack"/>
      <w:bookmarkEnd w:id="0"/>
    </w:p>
    <w:p w:rsidR="00D32C66" w:rsidRDefault="00D32C66">
      <w:r>
        <w:t>Maartje Goudswaard: forensisch arts, tropenarts</w:t>
      </w:r>
    </w:p>
    <w:p w:rsidR="00D32C66" w:rsidRDefault="00D32C66">
      <w:r>
        <w:t>Ype Schuitmaker: forensisch arts</w:t>
      </w:r>
    </w:p>
    <w:p w:rsidR="00D32C66" w:rsidRDefault="00D32C66">
      <w:r>
        <w:t>Harry van Venrooij: forensisch arts</w:t>
      </w:r>
    </w:p>
    <w:p w:rsidR="00D32C66" w:rsidRDefault="00D32C66">
      <w:r>
        <w:t>Karen van den Hondel: forensisch arts</w:t>
      </w:r>
    </w:p>
    <w:p w:rsidR="00EB5BA4" w:rsidRDefault="00D32C66">
      <w:r>
        <w:t>Ricardo Scholten: forensisch arts</w:t>
      </w:r>
      <w:r w:rsidR="00EB5BA4">
        <w:t xml:space="preserve"> </w:t>
      </w:r>
    </w:p>
    <w:p w:rsidR="00EB5BA4" w:rsidRDefault="00EB5BA4"/>
    <w:sectPr w:rsidR="00EB5BA4" w:rsidSect="006C3C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A4"/>
    <w:rsid w:val="00081092"/>
    <w:rsid w:val="004551B5"/>
    <w:rsid w:val="00501CA1"/>
    <w:rsid w:val="005332E6"/>
    <w:rsid w:val="006C3C0A"/>
    <w:rsid w:val="00797D33"/>
    <w:rsid w:val="00824451"/>
    <w:rsid w:val="009E3498"/>
    <w:rsid w:val="00A820B4"/>
    <w:rsid w:val="00BF25F6"/>
    <w:rsid w:val="00D32C66"/>
    <w:rsid w:val="00DA577D"/>
    <w:rsid w:val="00E912C7"/>
    <w:rsid w:val="00EB5BA4"/>
    <w:rsid w:val="00F341CA"/>
    <w:rsid w:val="00FB6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7D"/>
    <w:pPr>
      <w:suppressAutoHyphens/>
      <w:spacing w:after="0" w:line="240" w:lineRule="auto"/>
    </w:pPr>
    <w:rPr>
      <w:rFonts w:ascii="Times New Roman" w:hAnsi="Times New Roman"/>
      <w:sz w:val="24"/>
      <w:szCs w:val="24"/>
      <w:lang w:eastAsia="ar-SA"/>
    </w:rPr>
  </w:style>
  <w:style w:type="paragraph" w:styleId="Kop1">
    <w:name w:val="heading 1"/>
    <w:basedOn w:val="Standaard"/>
    <w:next w:val="Standaard"/>
    <w:link w:val="Kop1Char"/>
    <w:qFormat/>
    <w:rsid w:val="00DA577D"/>
    <w:pPr>
      <w:keepNext/>
      <w:outlineLvl w:val="0"/>
    </w:pPr>
    <w:rPr>
      <w:rFonts w:ascii="Arial" w:eastAsia="Times" w:hAnsi="Arial" w:cs="Arial"/>
      <w:b/>
      <w:bCs/>
      <w:cap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577D"/>
    <w:rPr>
      <w:rFonts w:ascii="Arial" w:eastAsia="Times" w:hAnsi="Arial" w:cs="Arial"/>
      <w:b/>
      <w:bCs/>
      <w:caps/>
      <w:szCs w:val="20"/>
    </w:rPr>
  </w:style>
  <w:style w:type="paragraph" w:styleId="Lijstalinea">
    <w:name w:val="List Paragraph"/>
    <w:basedOn w:val="Standaard"/>
    <w:uiPriority w:val="34"/>
    <w:qFormat/>
    <w:rsid w:val="00DA577D"/>
    <w:pPr>
      <w:ind w:left="720"/>
      <w:contextualSpacing/>
    </w:pPr>
    <w:rPr>
      <w:rFonts w:eastAsia="Times New Roman" w:cs="Times New Roman"/>
    </w:rPr>
  </w:style>
  <w:style w:type="table" w:styleId="Tabelraster">
    <w:name w:val="Table Grid"/>
    <w:basedOn w:val="Standaardtabel"/>
    <w:uiPriority w:val="39"/>
    <w:rsid w:val="00EB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7D"/>
    <w:pPr>
      <w:suppressAutoHyphens/>
      <w:spacing w:after="0" w:line="240" w:lineRule="auto"/>
    </w:pPr>
    <w:rPr>
      <w:rFonts w:ascii="Times New Roman" w:hAnsi="Times New Roman"/>
      <w:sz w:val="24"/>
      <w:szCs w:val="24"/>
      <w:lang w:eastAsia="ar-SA"/>
    </w:rPr>
  </w:style>
  <w:style w:type="paragraph" w:styleId="Kop1">
    <w:name w:val="heading 1"/>
    <w:basedOn w:val="Standaard"/>
    <w:next w:val="Standaard"/>
    <w:link w:val="Kop1Char"/>
    <w:qFormat/>
    <w:rsid w:val="00DA577D"/>
    <w:pPr>
      <w:keepNext/>
      <w:outlineLvl w:val="0"/>
    </w:pPr>
    <w:rPr>
      <w:rFonts w:ascii="Arial" w:eastAsia="Times" w:hAnsi="Arial" w:cs="Arial"/>
      <w:b/>
      <w:bCs/>
      <w:cap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577D"/>
    <w:rPr>
      <w:rFonts w:ascii="Arial" w:eastAsia="Times" w:hAnsi="Arial" w:cs="Arial"/>
      <w:b/>
      <w:bCs/>
      <w:caps/>
      <w:szCs w:val="20"/>
    </w:rPr>
  </w:style>
  <w:style w:type="paragraph" w:styleId="Lijstalinea">
    <w:name w:val="List Paragraph"/>
    <w:basedOn w:val="Standaard"/>
    <w:uiPriority w:val="34"/>
    <w:qFormat/>
    <w:rsid w:val="00DA577D"/>
    <w:pPr>
      <w:ind w:left="720"/>
      <w:contextualSpacing/>
    </w:pPr>
    <w:rPr>
      <w:rFonts w:eastAsia="Times New Roman" w:cs="Times New Roman"/>
    </w:rPr>
  </w:style>
  <w:style w:type="table" w:styleId="Tabelraster">
    <w:name w:val="Table Grid"/>
    <w:basedOn w:val="Standaardtabel"/>
    <w:uiPriority w:val="39"/>
    <w:rsid w:val="00EB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Hondel, Karen van den</cp:lastModifiedBy>
  <cp:revision>5</cp:revision>
  <dcterms:created xsi:type="dcterms:W3CDTF">2021-10-18T11:07:00Z</dcterms:created>
  <dcterms:modified xsi:type="dcterms:W3CDTF">2021-10-20T09:49:00Z</dcterms:modified>
</cp:coreProperties>
</file>